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CEB" w:rsidRDefault="00B63373">
      <w:pPr>
        <w:pStyle w:val="Standard"/>
      </w:pPr>
      <w:bookmarkStart w:id="0" w:name="_GoBack"/>
      <w:bookmarkEnd w:id="0"/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3931197</wp:posOffset>
            </wp:positionH>
            <wp:positionV relativeFrom="paragraph">
              <wp:posOffset>34198</wp:posOffset>
            </wp:positionV>
            <wp:extent cx="2620076" cy="916923"/>
            <wp:effectExtent l="0" t="0" r="8824" b="0"/>
            <wp:wrapSquare wrapText="bothSides"/>
            <wp:docPr id="1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0076" cy="916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                                                                   </w:t>
      </w:r>
    </w:p>
    <w:p w:rsidR="006D4CEB" w:rsidRDefault="006D4CEB">
      <w:pPr>
        <w:pStyle w:val="Standard"/>
        <w:jc w:val="center"/>
        <w:rPr>
          <w:sz w:val="28"/>
          <w:szCs w:val="28"/>
        </w:rPr>
      </w:pPr>
    </w:p>
    <w:p w:rsidR="006D4CEB" w:rsidRDefault="006D4CEB">
      <w:pPr>
        <w:pStyle w:val="Standard"/>
        <w:jc w:val="center"/>
        <w:rPr>
          <w:sz w:val="28"/>
          <w:szCs w:val="28"/>
        </w:rPr>
      </w:pPr>
    </w:p>
    <w:p w:rsidR="006D4CEB" w:rsidRDefault="006D4CEB">
      <w:pPr>
        <w:pStyle w:val="Standard"/>
        <w:jc w:val="center"/>
        <w:rPr>
          <w:sz w:val="28"/>
          <w:szCs w:val="28"/>
        </w:rPr>
      </w:pPr>
    </w:p>
    <w:p w:rsidR="006D4CEB" w:rsidRDefault="006D4CEB">
      <w:pPr>
        <w:pStyle w:val="Standard"/>
        <w:jc w:val="center"/>
        <w:rPr>
          <w:sz w:val="28"/>
          <w:szCs w:val="28"/>
        </w:rPr>
      </w:pPr>
    </w:p>
    <w:p w:rsidR="006D4CEB" w:rsidRDefault="006D4CEB">
      <w:pPr>
        <w:pStyle w:val="Standard"/>
        <w:jc w:val="center"/>
        <w:rPr>
          <w:rFonts w:ascii="Times New Roman" w:hAnsi="Times New Roman"/>
          <w:sz w:val="28"/>
          <w:szCs w:val="28"/>
        </w:rPr>
      </w:pPr>
    </w:p>
    <w:p w:rsidR="006D4CEB" w:rsidRDefault="00B63373">
      <w:pPr>
        <w:pStyle w:val="Standard"/>
        <w:jc w:val="center"/>
      </w:pPr>
      <w:r>
        <w:rPr>
          <w:rFonts w:ascii="Times New Roman" w:hAnsi="Times New Roman"/>
          <w:b/>
          <w:bCs/>
          <w:sz w:val="32"/>
          <w:szCs w:val="32"/>
        </w:rPr>
        <w:t>Эссенциальная гипертензия и ее профилактика.</w:t>
      </w:r>
    </w:p>
    <w:p w:rsidR="006D4CEB" w:rsidRDefault="00B63373">
      <w:pPr>
        <w:pStyle w:val="Standard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(памятка для населения).</w:t>
      </w:r>
    </w:p>
    <w:p w:rsidR="006D4CEB" w:rsidRDefault="00B63373">
      <w:pPr>
        <w:pStyle w:val="Standard"/>
        <w:jc w:val="both"/>
      </w:pPr>
      <w:r>
        <w:rPr>
          <w:rFonts w:ascii="Times New Roman" w:hAnsi="Times New Roman"/>
          <w:noProof/>
          <w:lang w:eastAsia="ru-RU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-111602</wp:posOffset>
            </wp:positionH>
            <wp:positionV relativeFrom="paragraph">
              <wp:posOffset>52559</wp:posOffset>
            </wp:positionV>
            <wp:extent cx="2648523" cy="2179435"/>
            <wp:effectExtent l="0" t="0" r="0" b="0"/>
            <wp:wrapSquare wrapText="bothSides"/>
            <wp:docPr id="2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8523" cy="217943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u w:val="single"/>
        </w:rPr>
        <w:t>Эссенциальная гипертензия (первичная)</w:t>
      </w:r>
      <w:r>
        <w:rPr>
          <w:rFonts w:ascii="Times New Roman" w:hAnsi="Times New Roman"/>
          <w:sz w:val="28"/>
          <w:szCs w:val="28"/>
        </w:rPr>
        <w:t xml:space="preserve"> — это стабильное повышение систолического давления более 140мм.рт. ст. или диастолического давления до 90 мм рт. ст. и выше. Распространенность артериальной гипертензии (АГ) среди взрослого населения составляет 30 — 45</w:t>
      </w:r>
      <w:r>
        <w:rPr>
          <w:rFonts w:ascii="Times New Roman" w:hAnsi="Times New Roman"/>
          <w:sz w:val="28"/>
          <w:szCs w:val="28"/>
        </w:rPr>
        <w:t>%. Прогнозируется, что распространенность АГ будет расти во всем мире. Чаще всего это заболевание встречается у людей, которым за 40, но в последнее время гипертония заметно помолодела и диагностируется у людей разных возрастов. АГ является одной из главны</w:t>
      </w:r>
      <w:r>
        <w:rPr>
          <w:rFonts w:ascii="Times New Roman" w:hAnsi="Times New Roman"/>
          <w:sz w:val="28"/>
          <w:szCs w:val="28"/>
        </w:rPr>
        <w:t>х причин смертности у людей с заболеваниями сердечно-сосудистой системы.</w:t>
      </w:r>
    </w:p>
    <w:p w:rsidR="006D4CEB" w:rsidRDefault="00B63373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Факторы риска</w:t>
      </w:r>
    </w:p>
    <w:p w:rsidR="006D4CEB" w:rsidRDefault="00B63373">
      <w:pPr>
        <w:pStyle w:val="Textbody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Основную роль в возникновении АГ играют факторы риска, без которых появление заболевания маловероятно. Среди основных предрасполагающих причин выделяют:</w:t>
      </w:r>
    </w:p>
    <w:p w:rsidR="006D4CEB" w:rsidRDefault="00B63373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возраст (мужчин</w:t>
      </w:r>
      <w:r>
        <w:rPr>
          <w:rFonts w:ascii="Times New Roman" w:hAnsi="Times New Roman"/>
          <w:sz w:val="28"/>
          <w:szCs w:val="28"/>
        </w:rPr>
        <w:t>ы старше 55 лет, женщины — более 60 лет);</w:t>
      </w:r>
    </w:p>
    <w:p w:rsidR="006D4CEB" w:rsidRDefault="00B63373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семейный анамнез (развитие АГ у родителей, ранняя менопауза);</w:t>
      </w:r>
    </w:p>
    <w:p w:rsidR="006D4CEB" w:rsidRDefault="00B63373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курение (в т.ч. отказ от курения в течение последнего года);</w:t>
      </w:r>
    </w:p>
    <w:p w:rsidR="006D4CEB" w:rsidRDefault="00B63373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высокий уровень липидов в крови;</w:t>
      </w:r>
    </w:p>
    <w:p w:rsidR="006D4CEB" w:rsidRDefault="00B63373">
      <w:pPr>
        <w:pStyle w:val="Standard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нарушение гликемии натощак (глюкоза плазмы натощак 5,6 - 6</w:t>
      </w:r>
      <w:r>
        <w:rPr>
          <w:rFonts w:ascii="Times New Roman" w:hAnsi="Times New Roman"/>
          <w:sz w:val="28"/>
          <w:szCs w:val="28"/>
        </w:rPr>
        <w:t>,9 ммоль/л);</w:t>
      </w:r>
    </w:p>
    <w:p w:rsidR="006D4CEB" w:rsidRDefault="00B63373">
      <w:pPr>
        <w:pStyle w:val="Textbody"/>
        <w:numPr>
          <w:ilvl w:val="0"/>
          <w:numId w:val="2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малоподвижный образ жизни;</w:t>
      </w:r>
    </w:p>
    <w:p w:rsidR="006D4CEB" w:rsidRDefault="00B63373">
      <w:pPr>
        <w:pStyle w:val="Textbody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абдоминальное ожирение (окружность талии более 88 см для женщин и более 102 см для мужчин); Избыточная масса тела (ИМТ 25 - 29,9 кг/м.кв. или ожирение ИМТ&gt; = 30 кг/м.кв.). У людей с ожирением риск развития гипертонии</w:t>
      </w:r>
      <w:r>
        <w:rPr>
          <w:rFonts w:ascii="Times New Roman" w:hAnsi="Times New Roman"/>
          <w:sz w:val="28"/>
          <w:szCs w:val="28"/>
        </w:rPr>
        <w:t xml:space="preserve"> в 5 раз выше по сравнению с теми, чей вес нормальный. Если ваш собственный вес много лет превышает норму, ваше сердце и сосуды испытывают сильную нагрузку;</w:t>
      </w:r>
    </w:p>
    <w:p w:rsidR="006D4CEB" w:rsidRDefault="00B63373">
      <w:pPr>
        <w:pStyle w:val="Textbody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чрезмерное употребление соли (более 5 г в сутки). Натрий способен удерживать в организме воду;</w:t>
      </w:r>
    </w:p>
    <w:p w:rsidR="006D4CEB" w:rsidRDefault="00B63373">
      <w:pPr>
        <w:pStyle w:val="Textbody"/>
        <w:numPr>
          <w:ilvl w:val="0"/>
          <w:numId w:val="2"/>
        </w:numPr>
        <w:spacing w:after="0" w:line="240" w:lineRule="auto"/>
      </w:pPr>
      <w:r>
        <w:rPr>
          <w:rStyle w:val="StrongEmphasis"/>
          <w:rFonts w:ascii="Times New Roman" w:hAnsi="Times New Roman"/>
          <w:b w:val="0"/>
          <w:bCs w:val="0"/>
          <w:sz w:val="28"/>
          <w:szCs w:val="28"/>
        </w:rPr>
        <w:t>хрон</w:t>
      </w:r>
      <w:r>
        <w:rPr>
          <w:rStyle w:val="StrongEmphasis"/>
          <w:rFonts w:ascii="Times New Roman" w:hAnsi="Times New Roman"/>
          <w:b w:val="0"/>
          <w:bCs w:val="0"/>
          <w:sz w:val="28"/>
          <w:szCs w:val="28"/>
        </w:rPr>
        <w:t>ический стресс.</w:t>
      </w:r>
    </w:p>
    <w:p w:rsidR="006D4CEB" w:rsidRDefault="00B63373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Опасность гипертонии заключается в ее длительном бессимптомном или малосимптомном течении. В большинстве случаев артериальное давление (АД) </w:t>
      </w:r>
      <w:r>
        <w:rPr>
          <w:rFonts w:ascii="Times New Roman" w:hAnsi="Times New Roman"/>
          <w:sz w:val="28"/>
          <w:szCs w:val="28"/>
        </w:rPr>
        <w:lastRenderedPageBreak/>
        <w:t xml:space="preserve">повышается бессимптомно, и АГ обнаруживают лишь в ходе объективного исследования пациента </w:t>
      </w:r>
      <w:r>
        <w:rPr>
          <w:rFonts w:ascii="Times New Roman" w:hAnsi="Times New Roman"/>
          <w:sz w:val="28"/>
          <w:szCs w:val="28"/>
        </w:rPr>
        <w:t>(например, в ходе диспансеризации).</w:t>
      </w:r>
    </w:p>
    <w:p w:rsidR="006D4CEB" w:rsidRDefault="00B63373">
      <w:pPr>
        <w:pStyle w:val="Standard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Основные симптомы:</w:t>
      </w:r>
    </w:p>
    <w:p w:rsidR="006D4CEB" w:rsidRDefault="00B63373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Периодически развиваются давящие или пульсирующие головные боли (чаще по утрам, в затылочной области, как сдавливающий голову обруч, симптом усиливается при наклоне головы вниз, натуживании).</w:t>
      </w:r>
    </w:p>
    <w:p w:rsidR="006D4CEB" w:rsidRDefault="00B63373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Мел</w:t>
      </w:r>
      <w:r>
        <w:rPr>
          <w:rFonts w:ascii="Times New Roman" w:hAnsi="Times New Roman"/>
          <w:sz w:val="28"/>
          <w:szCs w:val="28"/>
        </w:rPr>
        <w:t>ькание мушек или туман перед глазами, головокружение.</w:t>
      </w:r>
    </w:p>
    <w:p w:rsidR="006D4CEB" w:rsidRDefault="00B63373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Во время физической нагрузки отмечается сильное сердцебиение и одышка. 4. По мере прогрессирования заболевания - снижение памяти, нарушение концентрации внимания, ухудшение работоспособности.</w:t>
      </w:r>
    </w:p>
    <w:p w:rsidR="006D4CEB" w:rsidRDefault="00B63373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Иног</w:t>
      </w:r>
      <w:r>
        <w:rPr>
          <w:rFonts w:ascii="Times New Roman" w:hAnsi="Times New Roman"/>
          <w:sz w:val="28"/>
          <w:szCs w:val="28"/>
        </w:rPr>
        <w:t>да появление отеков, пастозность нижних конечностей.</w:t>
      </w:r>
    </w:p>
    <w:p w:rsidR="006D4CEB" w:rsidRDefault="00B63373">
      <w:pPr>
        <w:pStyle w:val="Standard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Возможно причиной артериальной гипертензии (вторичной) может быть основное заболевание: синдром обструктивного апноэ во сне (храп),  заболевание щитовидной железы, заболевание почек и др.</w:t>
      </w:r>
    </w:p>
    <w:p w:rsidR="006D4CEB" w:rsidRDefault="00B63373">
      <w:pPr>
        <w:pStyle w:val="Textbody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уровню повы</w:t>
      </w:r>
      <w:r>
        <w:rPr>
          <w:rFonts w:ascii="Times New Roman" w:hAnsi="Times New Roman"/>
          <w:b/>
          <w:bCs/>
          <w:sz w:val="28"/>
          <w:szCs w:val="28"/>
        </w:rPr>
        <w:t>шения АД болезнь имеет 3 степени</w:t>
      </w:r>
    </w:p>
    <w:p w:rsidR="006D4CEB" w:rsidRDefault="00B63373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степени АД - в пределах 140/90 мм рт ст и выше.</w:t>
      </w:r>
    </w:p>
    <w:p w:rsidR="006D4CEB" w:rsidRDefault="00B63373">
      <w:pPr>
        <w:pStyle w:val="Textbody"/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второй степени АД составляет 160/100 мм рт ст и выше.</w:t>
      </w:r>
    </w:p>
    <w:p w:rsidR="006D4CEB" w:rsidRDefault="00B63373">
      <w:pPr>
        <w:pStyle w:val="Textbody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третьей степени характерно АД от 180/110 мм рт ст и выше.</w:t>
      </w:r>
    </w:p>
    <w:p w:rsidR="006D4CEB" w:rsidRDefault="00B63373">
      <w:pPr>
        <w:pStyle w:val="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Осложнения</w:t>
      </w:r>
    </w:p>
    <w:p w:rsidR="006D4CEB" w:rsidRDefault="00B63373">
      <w:pPr>
        <w:pStyle w:val="Textbody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Гипертонический криз.</w:t>
      </w:r>
    </w:p>
    <w:p w:rsidR="006D4CEB" w:rsidRDefault="00B63373">
      <w:pPr>
        <w:pStyle w:val="Textbody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Инсульт, инфарк</w:t>
      </w:r>
      <w:r>
        <w:rPr>
          <w:rFonts w:ascii="Times New Roman" w:hAnsi="Times New Roman"/>
          <w:sz w:val="28"/>
          <w:szCs w:val="28"/>
        </w:rPr>
        <w:t>т.</w:t>
      </w:r>
    </w:p>
    <w:p w:rsidR="006D4CEB" w:rsidRDefault="00B63373">
      <w:pPr>
        <w:pStyle w:val="Textbody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Почечная недостаточность.</w:t>
      </w:r>
    </w:p>
    <w:p w:rsidR="006D4CEB" w:rsidRDefault="00B63373">
      <w:pPr>
        <w:pStyle w:val="Textbody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Разрыв аневризмы или расслоение аорты.</w:t>
      </w:r>
    </w:p>
    <w:p w:rsidR="006D4CEB" w:rsidRDefault="00B63373">
      <w:pPr>
        <w:pStyle w:val="Textbody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поздних стадий АГ развитие ретинопатии.</w:t>
      </w:r>
    </w:p>
    <w:p w:rsidR="006D4CEB" w:rsidRDefault="00B63373">
      <w:pPr>
        <w:pStyle w:val="Textbody"/>
        <w:spacing w:after="0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299081</wp:posOffset>
            </wp:positionH>
            <wp:positionV relativeFrom="paragraph">
              <wp:posOffset>180978</wp:posOffset>
            </wp:positionV>
            <wp:extent cx="5200649" cy="2905121"/>
            <wp:effectExtent l="0" t="0" r="1" b="0"/>
            <wp:wrapSquare wrapText="bothSides"/>
            <wp:docPr id="3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49" cy="29051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D4CEB" w:rsidRDefault="006D4CEB">
      <w:pPr>
        <w:pStyle w:val="Textbody"/>
        <w:jc w:val="center"/>
      </w:pPr>
    </w:p>
    <w:p w:rsidR="006D4CEB" w:rsidRDefault="00B63373">
      <w:pPr>
        <w:pStyle w:val="Textbody"/>
        <w:jc w:val="center"/>
      </w:pPr>
      <w:r>
        <w:rPr>
          <w:rStyle w:val="StrongEmphasis"/>
          <w:rFonts w:ascii="Times New Roman" w:hAnsi="Times New Roman"/>
          <w:sz w:val="28"/>
          <w:szCs w:val="28"/>
        </w:rPr>
        <w:t>Меры профилактики гипертонии</w:t>
      </w:r>
    </w:p>
    <w:p w:rsidR="006D4CEB" w:rsidRDefault="00B63373">
      <w:pPr>
        <w:pStyle w:val="Textbody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Рациональное питание, диета (низкоуглеводная, низкохолестериновая)</w:t>
      </w:r>
    </w:p>
    <w:p w:rsidR="006D4CEB" w:rsidRDefault="00B63373">
      <w:pPr>
        <w:pStyle w:val="Textbody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 увеличить употребление овощей (кроме </w:t>
      </w:r>
      <w:r>
        <w:rPr>
          <w:rFonts w:ascii="Times New Roman" w:hAnsi="Times New Roman"/>
          <w:sz w:val="28"/>
          <w:szCs w:val="28"/>
        </w:rPr>
        <w:t>картофеля) и свежих фруктов до 400г/сут, рыбы, орехов, ненасыщенных жирных кислот (растительные масла), молочных продуктов низкой жирности;</w:t>
      </w:r>
    </w:p>
    <w:p w:rsidR="006D4CEB" w:rsidRDefault="00B63373">
      <w:pPr>
        <w:pStyle w:val="Textbody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уменьшить употребление мяса (исключить жирное мясо) и жиров животного происхождения, выпечки, сладостей;</w:t>
      </w:r>
    </w:p>
    <w:p w:rsidR="006D4CEB" w:rsidRDefault="00B63373">
      <w:pPr>
        <w:pStyle w:val="Textbody"/>
        <w:spacing w:after="0"/>
        <w:jc w:val="both"/>
      </w:pPr>
      <w:r>
        <w:rPr>
          <w:rFonts w:ascii="Times New Roman" w:hAnsi="Times New Roman"/>
          <w:sz w:val="28"/>
          <w:szCs w:val="28"/>
        </w:rPr>
        <w:t>-  ограни</w:t>
      </w:r>
      <w:r>
        <w:rPr>
          <w:rFonts w:ascii="Times New Roman" w:hAnsi="Times New Roman"/>
          <w:sz w:val="28"/>
          <w:szCs w:val="28"/>
        </w:rPr>
        <w:t xml:space="preserve">чить употребление соли (различных солений) — не </w:t>
      </w:r>
      <w:r>
        <w:rPr>
          <w:rFonts w:ascii="Noto Sans" w:hAnsi="Noto Sans"/>
          <w:sz w:val="28"/>
          <w:szCs w:val="28"/>
        </w:rPr>
        <w:t>&gt;</w:t>
      </w:r>
      <w:r>
        <w:rPr>
          <w:rFonts w:ascii="Times New Roman" w:hAnsi="Times New Roman"/>
          <w:sz w:val="28"/>
          <w:szCs w:val="28"/>
        </w:rPr>
        <w:t>5г/сутки.</w:t>
      </w:r>
    </w:p>
    <w:p w:rsidR="006D4CEB" w:rsidRDefault="00B63373">
      <w:pPr>
        <w:pStyle w:val="Textbody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Избавление от факторов риска, таких как лишний вес при ожирении, пристрастие к никотину и алкоголю.</w:t>
      </w:r>
    </w:p>
    <w:p w:rsidR="006D4CEB" w:rsidRDefault="00B63373">
      <w:pPr>
        <w:pStyle w:val="Textbody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Устранение гиподинамии - различные варианты посильных физических нагрузок:</w:t>
      </w:r>
    </w:p>
    <w:p w:rsidR="006D4CEB" w:rsidRDefault="00B63373">
      <w:pPr>
        <w:pStyle w:val="Textbody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зарядка - не менее </w:t>
      </w:r>
      <w:r>
        <w:rPr>
          <w:rFonts w:ascii="Times New Roman" w:hAnsi="Times New Roman"/>
          <w:sz w:val="28"/>
          <w:szCs w:val="28"/>
        </w:rPr>
        <w:t>30 минут динамических упражнений умеренной интенсивности 5 - 7 дней в неделю;</w:t>
      </w:r>
    </w:p>
    <w:p w:rsidR="006D4CEB" w:rsidRDefault="00B63373">
      <w:pPr>
        <w:pStyle w:val="Textbody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ходьба, скандинавская ходьба;</w:t>
      </w:r>
    </w:p>
    <w:p w:rsidR="006D4CEB" w:rsidRDefault="00B63373">
      <w:pPr>
        <w:pStyle w:val="Textbody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езда на велосипеде, плавание, фитнес.</w:t>
      </w:r>
    </w:p>
    <w:p w:rsidR="006D4CEB" w:rsidRDefault="00B63373">
      <w:pPr>
        <w:pStyle w:val="Textbody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Антистрессовая программа (физиотерапия, релаксация, мягкие седативные средства).</w:t>
      </w:r>
    </w:p>
    <w:p w:rsidR="006D4CEB" w:rsidRDefault="00B63373">
      <w:pPr>
        <w:pStyle w:val="Textbody"/>
        <w:numPr>
          <w:ilvl w:val="0"/>
          <w:numId w:val="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сна и бодрствования</w:t>
      </w:r>
      <w:r>
        <w:rPr>
          <w:rFonts w:ascii="Times New Roman" w:hAnsi="Times New Roman"/>
          <w:sz w:val="28"/>
          <w:szCs w:val="28"/>
        </w:rPr>
        <w:t xml:space="preserve"> (8-часовой сон и упорядоченный распорядок дня).</w:t>
      </w:r>
    </w:p>
    <w:p w:rsidR="006D4CEB" w:rsidRDefault="00B63373">
      <w:pPr>
        <w:pStyle w:val="Textbody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Вести дневник учета АД при установленном диагнозе (при этом целевой</w:t>
      </w:r>
    </w:p>
    <w:p w:rsidR="006D4CEB" w:rsidRDefault="00B63373">
      <w:pPr>
        <w:pStyle w:val="Textbody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уровень АД должен составлять 120 - 130/70 - 79 мм рт. ст.).</w:t>
      </w:r>
    </w:p>
    <w:p w:rsidR="006D4CEB" w:rsidRDefault="00B63373">
      <w:pPr>
        <w:pStyle w:val="Textbody"/>
        <w:numPr>
          <w:ilvl w:val="0"/>
          <w:numId w:val="5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Проходить диспансеризацию — для проведения оценки факторов риска.</w:t>
      </w:r>
    </w:p>
    <w:p w:rsidR="006D4CEB" w:rsidRDefault="00B63373">
      <w:pPr>
        <w:pStyle w:val="Textbody"/>
        <w:numPr>
          <w:ilvl w:val="0"/>
          <w:numId w:val="5"/>
        </w:numPr>
        <w:spacing w:after="0"/>
        <w:jc w:val="both"/>
      </w:pPr>
      <w:r>
        <w:rPr>
          <w:rFonts w:ascii="Times New Roman" w:hAnsi="Times New Roman"/>
          <w:noProof/>
          <w:sz w:val="28"/>
          <w:szCs w:val="28"/>
          <w:lang w:eastAsia="ru-RU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260988</wp:posOffset>
            </wp:positionH>
            <wp:positionV relativeFrom="paragraph">
              <wp:posOffset>871852</wp:posOffset>
            </wp:positionV>
            <wp:extent cx="5648321" cy="1219196"/>
            <wp:effectExtent l="0" t="0" r="0" b="4"/>
            <wp:wrapSquare wrapText="bothSides"/>
            <wp:docPr id="4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1" cy="1219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Если пациент</w:t>
      </w:r>
      <w:r>
        <w:rPr>
          <w:rFonts w:ascii="Times New Roman" w:hAnsi="Times New Roman"/>
          <w:sz w:val="28"/>
          <w:szCs w:val="28"/>
        </w:rPr>
        <w:t xml:space="preserve"> отказывается принимать антигипертензивные препараты, ему необходимо изменить образ жизни и длительно наблюдаться у врача, т. к. при отсутствии данных мер, АД со временем будет неизбежно расти.</w:t>
      </w:r>
    </w:p>
    <w:p w:rsidR="006D4CEB" w:rsidRDefault="006D4CEB">
      <w:pPr>
        <w:pStyle w:val="Textbody"/>
        <w:spacing w:after="0"/>
        <w:jc w:val="both"/>
        <w:rPr>
          <w:rFonts w:ascii="Times New Roman" w:hAnsi="Times New Roman"/>
          <w:sz w:val="28"/>
          <w:szCs w:val="28"/>
        </w:rPr>
      </w:pPr>
    </w:p>
    <w:p w:rsidR="006D4CEB" w:rsidRDefault="00B63373">
      <w:pPr>
        <w:pStyle w:val="Textbody"/>
        <w:jc w:val="center"/>
      </w:pPr>
      <w:r>
        <w:rPr>
          <w:rStyle w:val="StrongEmphasis"/>
          <w:rFonts w:ascii="Times New Roman" w:hAnsi="Times New Roman"/>
          <w:sz w:val="28"/>
          <w:szCs w:val="28"/>
        </w:rPr>
        <w:t>Можно ли вылечить гипертонию? Лекарства могут снизить давлени</w:t>
      </w:r>
      <w:r>
        <w:rPr>
          <w:rStyle w:val="StrongEmphasis"/>
          <w:rFonts w:ascii="Times New Roman" w:hAnsi="Times New Roman"/>
          <w:sz w:val="28"/>
          <w:szCs w:val="28"/>
        </w:rPr>
        <w:t>е, но не избавят от болезни, так как не устраняют ее причину. Основные профилактические мероприятия должны быть направлены на ликвидацию факторов риска.</w:t>
      </w:r>
    </w:p>
    <w:sectPr w:rsidR="006D4CEB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3373" w:rsidRDefault="00B63373">
      <w:r>
        <w:separator/>
      </w:r>
    </w:p>
  </w:endnote>
  <w:endnote w:type="continuationSeparator" w:id="0">
    <w:p w:rsidR="00B63373" w:rsidRDefault="00B63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auto"/>
    <w:pitch w:val="variable"/>
  </w:font>
  <w:font w:name="Liberation Sans">
    <w:charset w:val="00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</w:font>
  <w:font w:name="Noto Sans">
    <w:altName w:val="Arial"/>
    <w:charset w:val="00"/>
    <w:family w:val="swiss"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3373" w:rsidRDefault="00B63373">
      <w:r>
        <w:rPr>
          <w:color w:val="000000"/>
        </w:rPr>
        <w:separator/>
      </w:r>
    </w:p>
  </w:footnote>
  <w:footnote w:type="continuationSeparator" w:id="0">
    <w:p w:rsidR="00B63373" w:rsidRDefault="00B633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71BAA"/>
    <w:multiLevelType w:val="multilevel"/>
    <w:tmpl w:val="FB406E1C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1" w15:restartNumberingAfterBreak="0">
    <w:nsid w:val="23DE217A"/>
    <w:multiLevelType w:val="multilevel"/>
    <w:tmpl w:val="0202464E"/>
    <w:styleLink w:val="WWNum2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4199502D"/>
    <w:multiLevelType w:val="multilevel"/>
    <w:tmpl w:val="0A5CB86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58667A5D"/>
    <w:multiLevelType w:val="multilevel"/>
    <w:tmpl w:val="1E66719A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abstractNum w:abstractNumId="4" w15:restartNumberingAfterBreak="0">
    <w:nsid w:val="66535349"/>
    <w:multiLevelType w:val="multilevel"/>
    <w:tmpl w:val="C8887D14"/>
    <w:lvl w:ilvl="0">
      <w:start w:val="1"/>
      <w:numFmt w:val="decimal"/>
      <w:lvlText w:val="%1."/>
      <w:lvlJc w:val="left"/>
      <w:pPr>
        <w:ind w:left="707" w:hanging="283"/>
      </w:pPr>
    </w:lvl>
    <w:lvl w:ilvl="1">
      <w:start w:val="1"/>
      <w:numFmt w:val="decimal"/>
      <w:lvlText w:val="%2."/>
      <w:lvlJc w:val="left"/>
      <w:pPr>
        <w:ind w:left="1414" w:hanging="283"/>
      </w:pPr>
    </w:lvl>
    <w:lvl w:ilvl="2">
      <w:start w:val="1"/>
      <w:numFmt w:val="decimal"/>
      <w:lvlText w:val="%3."/>
      <w:lvlJc w:val="left"/>
      <w:pPr>
        <w:ind w:left="2121" w:hanging="283"/>
      </w:pPr>
    </w:lvl>
    <w:lvl w:ilvl="3">
      <w:start w:val="1"/>
      <w:numFmt w:val="decimal"/>
      <w:lvlText w:val="%4."/>
      <w:lvlJc w:val="left"/>
      <w:pPr>
        <w:ind w:left="2828" w:hanging="283"/>
      </w:pPr>
    </w:lvl>
    <w:lvl w:ilvl="4">
      <w:start w:val="1"/>
      <w:numFmt w:val="decimal"/>
      <w:lvlText w:val="%5."/>
      <w:lvlJc w:val="left"/>
      <w:pPr>
        <w:ind w:left="3535" w:hanging="283"/>
      </w:pPr>
    </w:lvl>
    <w:lvl w:ilvl="5">
      <w:start w:val="1"/>
      <w:numFmt w:val="decimal"/>
      <w:lvlText w:val="%6."/>
      <w:lvlJc w:val="left"/>
      <w:pPr>
        <w:ind w:left="4242" w:hanging="283"/>
      </w:pPr>
    </w:lvl>
    <w:lvl w:ilvl="6">
      <w:start w:val="1"/>
      <w:numFmt w:val="decimal"/>
      <w:lvlText w:val="%7."/>
      <w:lvlJc w:val="left"/>
      <w:pPr>
        <w:ind w:left="4949" w:hanging="283"/>
      </w:pPr>
    </w:lvl>
    <w:lvl w:ilvl="7">
      <w:start w:val="1"/>
      <w:numFmt w:val="decimal"/>
      <w:lvlText w:val="%8."/>
      <w:lvlJc w:val="left"/>
      <w:pPr>
        <w:ind w:left="5656" w:hanging="283"/>
      </w:pPr>
    </w:lvl>
    <w:lvl w:ilvl="8">
      <w:start w:val="1"/>
      <w:numFmt w:val="decimal"/>
      <w:lvlText w:val="%9."/>
      <w:lvlJc w:val="left"/>
      <w:pPr>
        <w:ind w:left="6363" w:hanging="283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6D4CEB"/>
    <w:rsid w:val="002B40DE"/>
    <w:rsid w:val="006D4CEB"/>
    <w:rsid w:val="00B6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9C1F90-7F69-4F80-A4F5-832D7C903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Noto Sans Devanagari"/>
        <w:kern w:val="3"/>
        <w:sz w:val="24"/>
        <w:szCs w:val="24"/>
        <w:lang w:val="ru-RU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paragraph" w:styleId="2">
    <w:name w:val="heading 2"/>
    <w:basedOn w:val="Heading"/>
    <w:next w:val="Textbody"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rFonts w:ascii="Liberation Serif" w:hAnsi="Liberation Serif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Wingdings"/>
    </w:rPr>
  </w:style>
  <w:style w:type="character" w:customStyle="1" w:styleId="ListLabel3">
    <w:name w:val="ListLabel 3"/>
    <w:rPr>
      <w:rFonts w:cs="Symbol"/>
    </w:rPr>
  </w:style>
  <w:style w:type="character" w:customStyle="1" w:styleId="ListLabel4">
    <w:name w:val="ListLabel 4"/>
    <w:rPr>
      <w:rFonts w:cs="Courier New"/>
    </w:rPr>
  </w:style>
  <w:style w:type="character" w:customStyle="1" w:styleId="ListLabel5">
    <w:name w:val="ListLabel 5"/>
    <w:rPr>
      <w:rFonts w:cs="Wingdings"/>
    </w:rPr>
  </w:style>
  <w:style w:type="character" w:customStyle="1" w:styleId="ListLabel6">
    <w:name w:val="ListLabel 6"/>
    <w:rPr>
      <w:rFonts w:cs="Symbol"/>
    </w:rPr>
  </w:style>
  <w:style w:type="character" w:customStyle="1" w:styleId="ListLabel7">
    <w:name w:val="ListLabel 7"/>
    <w:rPr>
      <w:rFonts w:cs="Courier New"/>
    </w:rPr>
  </w:style>
  <w:style w:type="character" w:customStyle="1" w:styleId="ListLabel8">
    <w:name w:val="ListLabel 8"/>
    <w:rPr>
      <w:rFonts w:cs="Wingdings"/>
    </w:rPr>
  </w:style>
  <w:style w:type="paragraph" w:styleId="a5">
    <w:name w:val="Balloon Text"/>
    <w:basedOn w:val="a"/>
    <w:rPr>
      <w:rFonts w:ascii="Segoe UI" w:hAnsi="Segoe UI" w:cs="Mangal"/>
      <w:sz w:val="18"/>
      <w:szCs w:val="16"/>
    </w:rPr>
  </w:style>
  <w:style w:type="character" w:customStyle="1" w:styleId="a6">
    <w:name w:val="Текст выноски Знак"/>
    <w:basedOn w:val="a0"/>
    <w:rPr>
      <w:rFonts w:ascii="Segoe UI" w:hAnsi="Segoe UI" w:cs="Mangal"/>
      <w:sz w:val="18"/>
      <w:szCs w:val="16"/>
    </w:rPr>
  </w:style>
  <w:style w:type="numbering" w:customStyle="1" w:styleId="WWNum2">
    <w:name w:val="WWNum2"/>
    <w:basedOn w:val="a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697</Words>
  <Characters>3976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Акименко Татьяна Владимировна</dc:creator>
  <cp:lastModifiedBy>Акименко Татьяна Владимировна</cp:lastModifiedBy>
  <cp:revision>2</cp:revision>
  <cp:lastPrinted>2022-04-27T07:16:00Z</cp:lastPrinted>
  <dcterms:created xsi:type="dcterms:W3CDTF">2022-05-12T13:18:00Z</dcterms:created>
  <dcterms:modified xsi:type="dcterms:W3CDTF">2022-05-12T13:18:00Z</dcterms:modified>
</cp:coreProperties>
</file>